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6" w:rsidRPr="00E4547A" w:rsidRDefault="00E4547A" w:rsidP="00E45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47A">
        <w:rPr>
          <w:rFonts w:ascii="Times New Roman" w:hAnsi="Times New Roman" w:cs="Times New Roman"/>
          <w:color w:val="000000"/>
          <w:sz w:val="24"/>
          <w:szCs w:val="24"/>
        </w:rPr>
        <w:t>18.04.2020   Semestr  IV B  - Liceum Ogólnokształcące   Przedmiot  - Historia i społeczeństwo   Nauczyciel - Krzysztof Jarosz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Polacy wobec zaborców w II </w:t>
      </w:r>
      <w:proofErr w:type="spellStart"/>
      <w:r w:rsidRPr="00E4547A">
        <w:rPr>
          <w:rFonts w:ascii="Times New Roman" w:hAnsi="Times New Roman" w:cs="Times New Roman"/>
          <w:color w:val="000000"/>
          <w:sz w:val="24"/>
          <w:szCs w:val="24"/>
        </w:rPr>
        <w:t>poł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XIX  w.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1.Autonomia galicyjska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2.Germanizacja w zaborze pruskim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3.Praca organiczna w zaborze pruskim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4.Organicznicy w walce z rusyfikacją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Polityka i politycy .Narodziny masowych ruchów politycznych na ziemiach polskich   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1.Społeczeństwo przełomu wieków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2.Ruch socjalistyczny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3.Ruch narodowy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4.Ruch ludowy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Temat;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Ku niepodległej .Sprawa polska w czasie Wielkiej Wojny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1.Polskie orientacje w przededniu I wojny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2.Polacy w pierwszych latach wojny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 xml:space="preserve">3.Umiędzynarodowienie sprawy polskiej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4.Konsekwencje upadku caratu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547A">
        <w:rPr>
          <w:rFonts w:ascii="Times New Roman" w:hAnsi="Times New Roman" w:cs="Times New Roman"/>
          <w:color w:val="000000"/>
          <w:sz w:val="24"/>
          <w:szCs w:val="24"/>
        </w:rPr>
        <w:t>5.Sprawa polska u schyłku I wojny światowej</w:t>
      </w:r>
    </w:p>
    <w:sectPr w:rsidR="007C6CA6" w:rsidRPr="00E4547A" w:rsidSect="007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47A"/>
    <w:rsid w:val="007C6CA6"/>
    <w:rsid w:val="00E4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2020-04-14T19:03:00Z</dcterms:created>
  <dcterms:modified xsi:type="dcterms:W3CDTF">2020-04-14T19:05:00Z</dcterms:modified>
</cp:coreProperties>
</file>