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9E" w:rsidRDefault="009B389E" w:rsidP="009B389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5E06" w:rsidRPr="009B389E" w:rsidRDefault="009B389E" w:rsidP="009B3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89E">
        <w:rPr>
          <w:rFonts w:ascii="Times New Roman" w:hAnsi="Times New Roman" w:cs="Times New Roman"/>
          <w:color w:val="000000"/>
          <w:sz w:val="24"/>
          <w:szCs w:val="24"/>
        </w:rPr>
        <w:t>Produkcja zwierzęca: Opisz choroby i przedstaw procedury postępowania hodowców w przypadku wystąpienia BSE, ASF i ptasiej grypy.  Prowadzenie produkcji zwierzęcej (zad. w załączniku). Proszę o rozwiązanie zadania i dostarczenie rozwiązania tego zadania i z PZ na zajęcia lub do sekretariatu RCKU.</w:t>
      </w:r>
    </w:p>
    <w:sectPr w:rsidR="007F5E06" w:rsidRPr="009B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9E"/>
    <w:rsid w:val="007F5E06"/>
    <w:rsid w:val="009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714"/>
  <w15:chartTrackingRefBased/>
  <w15:docId w15:val="{7C8077CD-2817-4C2D-9AE0-35A63846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2022-10-20T11:26:00Z</dcterms:created>
  <dcterms:modified xsi:type="dcterms:W3CDTF">2022-10-20T11:26:00Z</dcterms:modified>
</cp:coreProperties>
</file>